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63" w:rsidRDefault="00CE30DF" w:rsidP="006E1460">
      <w:pPr>
        <w:jc w:val="center"/>
      </w:pPr>
      <w:r>
        <w:rPr>
          <w:noProof/>
        </w:rPr>
        <w:drawing>
          <wp:inline distT="0" distB="0" distL="0" distR="0">
            <wp:extent cx="4191000" cy="95415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竹馬偕new logo-20140421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195" cy="96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0DF" w:rsidRDefault="00CE30DF" w:rsidP="00CE30DF">
      <w:pPr>
        <w:pStyle w:val="Default"/>
      </w:pPr>
    </w:p>
    <w:p w:rsidR="00CE30DF" w:rsidRPr="008E1F0E" w:rsidRDefault="00CE30DF" w:rsidP="004F3A2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8E1F0E">
        <w:rPr>
          <w:rFonts w:ascii="微軟正黑體" w:eastAsia="微軟正黑體" w:hAnsi="微軟正黑體" w:hint="eastAsia"/>
          <w:b/>
          <w:sz w:val="28"/>
          <w:szCs w:val="28"/>
        </w:rPr>
        <w:t>目前『</w:t>
      </w:r>
      <w:r w:rsidR="004F3A21" w:rsidRPr="008E1F0E">
        <w:rPr>
          <w:rFonts w:ascii="微軟正黑體" w:eastAsia="微軟正黑體" w:hAnsi="微軟正黑體" w:hint="eastAsia"/>
          <w:b/>
          <w:sz w:val="28"/>
          <w:szCs w:val="28"/>
        </w:rPr>
        <w:t>特殊功能及材質髓內釘組</w:t>
      </w:r>
      <w:r w:rsidRPr="008E1F0E">
        <w:rPr>
          <w:rFonts w:ascii="微軟正黑體" w:eastAsia="微軟正黑體" w:hAnsi="微軟正黑體" w:hint="eastAsia"/>
          <w:b/>
          <w:sz w:val="28"/>
          <w:szCs w:val="28"/>
        </w:rPr>
        <w:t>』及本院收費標準</w:t>
      </w:r>
    </w:p>
    <w:tbl>
      <w:tblPr>
        <w:tblW w:w="10861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5"/>
        <w:gridCol w:w="4094"/>
        <w:gridCol w:w="1080"/>
        <w:gridCol w:w="700"/>
        <w:gridCol w:w="1080"/>
        <w:gridCol w:w="972"/>
        <w:gridCol w:w="1080"/>
      </w:tblGrid>
      <w:tr w:rsidR="00730464" w:rsidRPr="00730464" w:rsidTr="00730464">
        <w:trPr>
          <w:trHeight w:val="990"/>
          <w:tblHeader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特材代碼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產品名稱/許可証號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廠牌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單位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醫院單價(A)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健保部分給付(B)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病人自付差額(A-B)</w:t>
            </w:r>
          </w:p>
        </w:tc>
      </w:tr>
      <w:tr w:rsidR="00730464" w:rsidRPr="00730464" w:rsidTr="00730464">
        <w:trPr>
          <w:trHeight w:val="1037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FBN0527824S9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"史賽克"肱骨/近端肱骨鎖定系統特材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衛部醫器輸字第027824號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Stryker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86,036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67,000</w:t>
            </w:r>
          </w:p>
        </w:tc>
      </w:tr>
      <w:tr w:rsidR="00730464" w:rsidRPr="00730464" w:rsidTr="00730464">
        <w:trPr>
          <w:trHeight w:val="1582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FBN05MHN00S1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"信迪思"多方向鎖定肱骨髓內釘系統    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衛部醫器輸字第027513號+第018775號+第007804號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Synthes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86,036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67,000</w:t>
            </w:r>
          </w:p>
        </w:tc>
      </w:tr>
      <w:tr w:rsidR="00730464" w:rsidRPr="00730464" w:rsidTr="00730464">
        <w:trPr>
          <w:trHeight w:val="1825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FBNG118785S1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"信迪思"長股骨髓內釘系統</w:t>
            </w:r>
            <w:r w:rsidR="005F100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(200m</w:t>
            </w:r>
            <w:r w:rsidR="005F100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  <w:szCs w:val="24"/>
              </w:rPr>
              <w:t>m)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衛署醫器輸字第018785號+第019808號+第018775號+第018793號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Synthes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52,036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33,000</w:t>
            </w:r>
          </w:p>
        </w:tc>
      </w:tr>
      <w:tr w:rsidR="00730464" w:rsidRPr="00730464" w:rsidTr="00730464">
        <w:trPr>
          <w:trHeight w:val="132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FBNG118785S1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"信迪思"長股骨髓內釘系統</w:t>
            </w:r>
            <w:r w:rsidR="005F100D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  <w:szCs w:val="24"/>
              </w:rPr>
              <w:t>(300mm上)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衛署醫器輸字第018785號+第019808號+第018775號+第018793號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Synthes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73,036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54,000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FBNG1TRMCVS1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"信迪思"骨科增強用骨水泥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衛部醫器輸字第031712號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Synthes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45,000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25,000</w:t>
            </w:r>
          </w:p>
        </w:tc>
      </w:tr>
      <w:tr w:rsidR="00730464" w:rsidRPr="00730464" w:rsidTr="005F100D">
        <w:trPr>
          <w:trHeight w:val="2356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FBN05A2FN0S1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"信迪思"第二代順行股骨髓內釘植入物-股骨順行髓內釘組    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衛署醫器輸字第020276號+第018775號+第019808號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Synthes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77,036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58,000</w:t>
            </w:r>
          </w:p>
        </w:tc>
      </w:tr>
      <w:tr w:rsidR="00730464" w:rsidRPr="00730464" w:rsidTr="00730464">
        <w:trPr>
          <w:trHeight w:val="165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lastRenderedPageBreak/>
              <w:t>FBNG1LBDTCS1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"信迪思"進階型股骨近端髓內釘系統</w:t>
            </w:r>
            <w:r w:rsidR="005F100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-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長髓內釘刀片組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衛部醫器輸字第028857號+第018775號+第019808號+第018793號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Synthes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87,936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68,900</w:t>
            </w:r>
          </w:p>
        </w:tc>
      </w:tr>
      <w:tr w:rsidR="00730464" w:rsidRPr="00730464" w:rsidTr="00730464">
        <w:trPr>
          <w:trHeight w:val="165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FBNG1LSCTCS1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"信迪思"進階型股骨近端髓內釘系統</w:t>
            </w:r>
            <w:r w:rsidR="005F100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-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長髓內釘螺釘組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衛部醫器輸字第028857號+第018775號+第019808號+第018793號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Synthes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87,936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68,900</w:t>
            </w:r>
          </w:p>
        </w:tc>
      </w:tr>
      <w:tr w:rsidR="00730464" w:rsidRPr="00730464" w:rsidTr="00730464">
        <w:trPr>
          <w:trHeight w:val="132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FBN05ETN00S1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"信迪思"萬向脛骨髓內釘系統-中空脛骨髓內釘組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衛署醫器輸字第018775號+第018793號+第019808號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Synthes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79,036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60,000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FBN05RAFN0S1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"信迪思"萬向髓內釘股骨系統</w:t>
            </w:r>
            <w:r w:rsidR="005F100D" w:rsidRPr="005F100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-中空逆向性股骨髓內釘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衛署醫器輸字第018793號+第018775號+第019808號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Synthes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86,036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67,000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FBN0537330SN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"史耐輝"髓內釘系統</w:t>
            </w:r>
            <w:r w:rsidR="005F100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-轉子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順行髓內釘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衛署醫器輸字第022213號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Smith &amp; Nephew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81,036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62,000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FBNG175201SN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"史耐輝"髓內釘系統</w:t>
            </w:r>
            <w:r w:rsidR="005F100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-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髖部聯合加壓交鎖髓內釘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衛署醫器輸字第022213號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Smith &amp; Nephew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84,036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65,000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FBN0553018SN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"史耐輝"髓內釘系統</w:t>
            </w:r>
            <w:r w:rsidR="005F100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-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股骨逆行髓內釘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衛署醫器輸字第022213號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Smith &amp; Nephew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81,036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62,000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lastRenderedPageBreak/>
              <w:t>FBN0555016SN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"史耐輝"髓內釘系統</w:t>
            </w:r>
            <w:r w:rsidR="005F100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-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脛骨順行髓內釘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衛署醫器輸字第022213號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Smith &amp; Nephew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81,036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62,000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FBN053560X34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"西曼"骨髓內釘系統-西菲克斯逆行股骨鎖定髓內釘組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衛部醫器輸字第029615號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ChM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84,036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65,000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FBN053510X34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"西曼"骨髓內釘系統-西菲克斯解剖型股骨鎖定髓內釘組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衛部醫器輸字第029615號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ChM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84,036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65,000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FBN053297X34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"西曼"骨髓內釘系統-西菲克斯解剖型肱骨鎖定髓內釘組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衛部醫器輸字第029615號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ChM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84,036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65,000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FBN053265X34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"西曼"骨髓內釘系統-西菲克斯解剖型脛骨鎖定髓內釘組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衛部醫器輸字第029615號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ChM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84,036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65,000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FBNG13576X34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"西曼"骨髓內釘系統-西菲恩近端股骨鎖定髓內釘組/加長型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衛部醫器輸字第029615號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ChM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84,036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65,000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FBNG122572Z1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"捷邁"人工骨髓內釘-髓內釘組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衛署醫器輸字第022572號+第022621號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Zimmer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77,036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58,000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FBN05FM492Z1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"捷邁"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人工骨髓內釘-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股骨組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衛署醫器輸字第022621號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Zimmer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77,036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58,000</w:t>
            </w:r>
          </w:p>
        </w:tc>
      </w:tr>
      <w:tr w:rsidR="00730464" w:rsidRPr="00730464" w:rsidTr="00730464">
        <w:trPr>
          <w:trHeight w:val="66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FBN05TB495Z1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"捷邁"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人工骨髓內釘-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脛骨組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衛署醫器輸字第022621號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Zimmer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77,036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58,000</w:t>
            </w:r>
          </w:p>
        </w:tc>
      </w:tr>
      <w:tr w:rsidR="00730464" w:rsidRPr="00730464" w:rsidTr="00730464">
        <w:trPr>
          <w:trHeight w:val="9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lastRenderedPageBreak/>
              <w:t>FBNG1052719R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愛派司亞洲解剖型髓內釘系統組-長釘組</w:t>
            </w: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730464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衛部醫器製字第005271號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AA愛派司亞洲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84,036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19,036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64" w:rsidRPr="00730464" w:rsidRDefault="00730464" w:rsidP="00730464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730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65,000</w:t>
            </w:r>
          </w:p>
        </w:tc>
      </w:tr>
    </w:tbl>
    <w:p w:rsidR="00CE30DF" w:rsidRPr="00CE30DF" w:rsidRDefault="00CE30DF" w:rsidP="00730464">
      <w:pPr>
        <w:rPr>
          <w:rFonts w:hint="eastAsia"/>
          <w:sz w:val="28"/>
          <w:szCs w:val="28"/>
        </w:rPr>
      </w:pPr>
    </w:p>
    <w:p w:rsidR="004F3A21" w:rsidRPr="008E1F0E" w:rsidRDefault="004F3A21" w:rsidP="004F3A21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8E1F0E">
        <w:rPr>
          <w:rFonts w:ascii="微軟正黑體" w:eastAsia="微軟正黑體" w:hAnsi="微軟正黑體" w:hint="eastAsia"/>
          <w:b/>
          <w:sz w:val="28"/>
          <w:szCs w:val="28"/>
        </w:rPr>
        <w:t>全民健康保險自付差額特材類別「特殊功能及材質髓內釘組」 作業彙編(民眾篇)</w:t>
      </w:r>
    </w:p>
    <w:p w:rsidR="004F3A21" w:rsidRPr="008E1F0E" w:rsidRDefault="004F3A21" w:rsidP="004F3A21">
      <w:pPr>
        <w:ind w:left="120" w:firstLineChars="7" w:firstLine="20"/>
        <w:rPr>
          <w:rFonts w:ascii="微軟正黑體" w:eastAsia="微軟正黑體" w:hAnsi="微軟正黑體"/>
          <w:b/>
          <w:sz w:val="28"/>
          <w:szCs w:val="28"/>
        </w:rPr>
      </w:pPr>
      <w:r w:rsidRPr="008E1F0E">
        <w:rPr>
          <w:rFonts w:ascii="微軟正黑體" w:eastAsia="微軟正黑體" w:hAnsi="微軟正黑體"/>
          <w:b/>
          <w:bCs/>
          <w:sz w:val="28"/>
          <w:szCs w:val="28"/>
        </w:rPr>
        <w:t>一、什麼是健保給付之傳統「髓內釘組」</w:t>
      </w:r>
    </w:p>
    <w:p w:rsidR="004F3A21" w:rsidRPr="008E1F0E" w:rsidRDefault="004F3A21" w:rsidP="004F3A21">
      <w:pPr>
        <w:ind w:left="120" w:firstLineChars="210" w:firstLine="58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1.傳統用於股骨幹、脛骨幹及肱骨幹髓內釘組為不銹鋼材質髓內釘。</w:t>
      </w:r>
    </w:p>
    <w:p w:rsidR="004F3A21" w:rsidRPr="008E1F0E" w:rsidRDefault="004F3A21" w:rsidP="004F3A21">
      <w:pPr>
        <w:ind w:left="709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2.一般型鈦合金伽瑪髓內釘組(170mm)，係用於固定股骨轉子間骨折。因股骨轉子間位於近端股骨，使用較短的髓內釘系統，已足夠提供適當的骨折固定強度，促進骨折的癒合。</w:t>
      </w:r>
    </w:p>
    <w:p w:rsidR="004F3A21" w:rsidRPr="008E1F0E" w:rsidRDefault="004F3A21" w:rsidP="004F3A21">
      <w:pPr>
        <w:ind w:left="120"/>
        <w:rPr>
          <w:rFonts w:ascii="微軟正黑體" w:eastAsia="微軟正黑體" w:hAnsi="微軟正黑體"/>
          <w:b/>
          <w:sz w:val="28"/>
          <w:szCs w:val="28"/>
        </w:rPr>
      </w:pPr>
      <w:r w:rsidRPr="008E1F0E">
        <w:rPr>
          <w:rFonts w:ascii="微軟正黑體" w:eastAsia="微軟正黑體" w:hAnsi="微軟正黑體"/>
          <w:b/>
          <w:bCs/>
          <w:sz w:val="28"/>
          <w:szCs w:val="28"/>
        </w:rPr>
        <w:t>二、什麼是新增功能類別「特殊功能及材質髓內釘組」</w:t>
      </w:r>
    </w:p>
    <w:p w:rsidR="004F3A21" w:rsidRPr="008E1F0E" w:rsidRDefault="004F3A21" w:rsidP="008E1F0E">
      <w:pPr>
        <w:ind w:left="851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1. 適用於股骨幹、脛骨幹及肱骨幹之髓內釘組：材質為鈦合金或長碳纖維增強聚合物，可搭配固定螺釘使用，有多方向固定功能。</w:t>
      </w:r>
    </w:p>
    <w:p w:rsidR="004F3A21" w:rsidRDefault="004F3A21" w:rsidP="004F3A21">
      <w:pPr>
        <w:ind w:left="851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2. 鈦合金加長型髓內釘組：如果近端股骨骨折部位往下延伸，例如股骨轉子間骨折合併轉子下骨折、轉子下骨折、近端股骨骨折、或股骨病理性骨折等等，因為骨折範圍較長，一般型鈦合金伽瑪髓內釘組17公分的長度，已無法達成適當的骨折固定強度。在這些情況下，需要加長型髓內釘系統(18公分以上)，才能提供適當的骨折固定強度。</w:t>
      </w:r>
    </w:p>
    <w:p w:rsidR="00BE149D" w:rsidRDefault="00BE149D" w:rsidP="004F3A21">
      <w:pPr>
        <w:ind w:left="851"/>
        <w:rPr>
          <w:rFonts w:ascii="微軟正黑體" w:eastAsia="微軟正黑體" w:hAnsi="微軟正黑體"/>
          <w:sz w:val="28"/>
          <w:szCs w:val="28"/>
        </w:rPr>
      </w:pPr>
    </w:p>
    <w:p w:rsidR="00BE149D" w:rsidRPr="008E1F0E" w:rsidRDefault="00BE149D" w:rsidP="004F3A21">
      <w:pPr>
        <w:ind w:left="851"/>
        <w:rPr>
          <w:rFonts w:ascii="微軟正黑體" w:eastAsia="微軟正黑體" w:hAnsi="微軟正黑體" w:hint="eastAsia"/>
          <w:sz w:val="28"/>
          <w:szCs w:val="28"/>
        </w:rPr>
      </w:pPr>
      <w:bookmarkStart w:id="0" w:name="_GoBack"/>
      <w:bookmarkEnd w:id="0"/>
    </w:p>
    <w:p w:rsidR="004F3A21" w:rsidRPr="008E1F0E" w:rsidRDefault="004F3A21" w:rsidP="004F3A21">
      <w:pPr>
        <w:ind w:left="120"/>
        <w:rPr>
          <w:rFonts w:ascii="微軟正黑體" w:eastAsia="微軟正黑體" w:hAnsi="微軟正黑體"/>
          <w:b/>
          <w:sz w:val="28"/>
          <w:szCs w:val="28"/>
        </w:rPr>
      </w:pPr>
      <w:r w:rsidRPr="008E1F0E">
        <w:rPr>
          <w:rFonts w:ascii="微軟正黑體" w:eastAsia="微軟正黑體" w:hAnsi="微軟正黑體"/>
          <w:b/>
          <w:bCs/>
          <w:sz w:val="28"/>
          <w:szCs w:val="28"/>
        </w:rPr>
        <w:lastRenderedPageBreak/>
        <w:t>三、健保給付之傳統「髓內釘組」與「特殊功能及材質髓內釘組」的比較</w:t>
      </w:r>
    </w:p>
    <w:p w:rsidR="004F3A21" w:rsidRPr="008E1F0E" w:rsidRDefault="004F3A21" w:rsidP="008E1F0E">
      <w:pPr>
        <w:ind w:left="851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1. 材質不同：傳統用於股骨幹、脛骨幹及肱骨幹髓內釘組為不銹鋼材質；而「特殊功能及材質髓內釘組」材質為鈦合金或長碳纖維增強聚合物。</w:t>
      </w:r>
    </w:p>
    <w:p w:rsidR="004F3A21" w:rsidRPr="008E1F0E" w:rsidRDefault="004F3A21" w:rsidP="008E1F0E">
      <w:pPr>
        <w:ind w:left="851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2. 固定方式不同：傳統「髓內釘組」為平行螺釘固定，「特殊功能及材質髓內釘組」有多方向固定功能。</w:t>
      </w:r>
    </w:p>
    <w:p w:rsidR="004F3A21" w:rsidRPr="008E1F0E" w:rsidRDefault="004F3A21" w:rsidP="008E1F0E">
      <w:pPr>
        <w:ind w:left="851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3. 適應症不同：一般型鈦合金伽瑪髓內釘組(170mm)適用於股骨轉子間骨折。「鈦合金加長型髓內釘組」適用於股骨轉子間骨折合併轉子下骨折、轉子下骨折、近端股骨骨折、或股骨病理性骨折等。</w:t>
      </w:r>
    </w:p>
    <w:p w:rsidR="004F3A21" w:rsidRPr="008E1F0E" w:rsidRDefault="004F3A21" w:rsidP="008E1F0E">
      <w:pPr>
        <w:ind w:leftChars="60" w:left="284" w:hangingChars="50" w:hanging="140"/>
        <w:rPr>
          <w:rFonts w:ascii="微軟正黑體" w:eastAsia="微軟正黑體" w:hAnsi="微軟正黑體"/>
          <w:b/>
          <w:sz w:val="28"/>
          <w:szCs w:val="28"/>
        </w:rPr>
      </w:pPr>
      <w:r w:rsidRPr="008E1F0E">
        <w:rPr>
          <w:rFonts w:ascii="微軟正黑體" w:eastAsia="微軟正黑體" w:hAnsi="微軟正黑體"/>
          <w:b/>
          <w:bCs/>
          <w:sz w:val="28"/>
          <w:szCs w:val="28"/>
        </w:rPr>
        <w:t>四、為什麼無法全額給付「特殊功能及材質髓內釘組」</w:t>
      </w:r>
    </w:p>
    <w:p w:rsidR="004F3A21" w:rsidRPr="008E1F0E" w:rsidRDefault="004F3A21" w:rsidP="008E1F0E">
      <w:pPr>
        <w:ind w:left="142" w:firstLineChars="201" w:firstLine="563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「特殊功能及材質髓內釘組」相較健保全額給付之傳統「髓內釘組」，雖可增加病人治療的效果，但其價格較原有的健保給付特材價格高出許多，在有限的健保財源下，無法以全額健保給付；健保署為減輕病患負擔及考慮給付之公平性，故將該類特材列為自付差額之品項。</w:t>
      </w:r>
    </w:p>
    <w:p w:rsidR="004F3A21" w:rsidRPr="008E1F0E" w:rsidRDefault="004F3A21" w:rsidP="004F3A21">
      <w:pPr>
        <w:ind w:left="120"/>
        <w:rPr>
          <w:rFonts w:ascii="微軟正黑體" w:eastAsia="微軟正黑體" w:hAnsi="微軟正黑體"/>
          <w:b/>
          <w:sz w:val="28"/>
          <w:szCs w:val="28"/>
        </w:rPr>
      </w:pPr>
      <w:r w:rsidRPr="008E1F0E">
        <w:rPr>
          <w:rFonts w:ascii="微軟正黑體" w:eastAsia="微軟正黑體" w:hAnsi="微軟正黑體"/>
          <w:b/>
          <w:bCs/>
          <w:sz w:val="28"/>
          <w:szCs w:val="28"/>
        </w:rPr>
        <w:t>五、健保如何部分給付「特殊功能及材質髓內釘組」之費用</w:t>
      </w:r>
    </w:p>
    <w:p w:rsidR="004F3A21" w:rsidRPr="008E1F0E" w:rsidRDefault="004F3A21" w:rsidP="008E1F0E">
      <w:pPr>
        <w:ind w:left="120" w:firstLineChars="210" w:firstLine="58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保險對象如符合「特殊功能及材質髓內釘組」各次功能類別的給付規定，經醫師詳細說明並充分瞭解後，如自願選用者，由健保依「一般型鈦合金伽瑪髓內釘組(170mm)」的支付價格支付，不足的部分，則由保險對象自行負擔。</w:t>
      </w:r>
    </w:p>
    <w:p w:rsidR="004F3A21" w:rsidRPr="008E1F0E" w:rsidRDefault="004F3A21" w:rsidP="004F3A21">
      <w:pPr>
        <w:ind w:left="120"/>
        <w:rPr>
          <w:rFonts w:ascii="微軟正黑體" w:eastAsia="微軟正黑體" w:hAnsi="微軟正黑體"/>
          <w:b/>
          <w:sz w:val="28"/>
          <w:szCs w:val="28"/>
        </w:rPr>
      </w:pPr>
      <w:r w:rsidRPr="008E1F0E">
        <w:rPr>
          <w:rFonts w:ascii="微軟正黑體" w:eastAsia="微軟正黑體" w:hAnsi="微軟正黑體"/>
          <w:b/>
          <w:sz w:val="28"/>
          <w:szCs w:val="28"/>
        </w:rPr>
        <w:t>六、醫療院所應告知病患哪些事項</w:t>
      </w:r>
    </w:p>
    <w:p w:rsidR="004F3A21" w:rsidRPr="008E1F0E" w:rsidRDefault="004F3A21" w:rsidP="008E1F0E">
      <w:pPr>
        <w:ind w:left="120" w:firstLineChars="210" w:firstLine="58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醫療院所提供保險對象應自付差額之特殊材料時，為使民眾獲得充分資訊，告知程序應為二階段作業，說明如下：</w:t>
      </w:r>
    </w:p>
    <w:p w:rsidR="004F3A21" w:rsidRPr="008E1F0E" w:rsidRDefault="004F3A21" w:rsidP="008E1F0E">
      <w:pPr>
        <w:ind w:left="709"/>
        <w:rPr>
          <w:rFonts w:ascii="微軟正黑體" w:eastAsia="微軟正黑體" w:hAnsi="微軟正黑體"/>
          <w:b/>
          <w:sz w:val="28"/>
          <w:szCs w:val="28"/>
        </w:rPr>
      </w:pPr>
      <w:r w:rsidRPr="008E1F0E">
        <w:rPr>
          <w:rFonts w:ascii="微軟正黑體" w:eastAsia="微軟正黑體" w:hAnsi="微軟正黑體"/>
          <w:b/>
          <w:sz w:val="28"/>
          <w:szCs w:val="28"/>
        </w:rPr>
        <w:t>(一)第一階段</w:t>
      </w:r>
    </w:p>
    <w:p w:rsidR="004F3A21" w:rsidRPr="008E1F0E" w:rsidRDefault="004F3A21" w:rsidP="008E1F0E">
      <w:pPr>
        <w:ind w:left="709" w:firstLineChars="202" w:firstLine="566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lastRenderedPageBreak/>
        <w:t>1. 醫事機構應於手術或處置前2日（緊急情況除外），由醫師交付說明書予保險對象或家屬，同時充分向保險對象或家屬解說，並由醫師及保險對象或家屬共同簽名一式二份，一份交由保險對象或家屬保留，另一份則保留於病歷中。</w:t>
      </w:r>
    </w:p>
    <w:p w:rsidR="004F3A21" w:rsidRPr="008E1F0E" w:rsidRDefault="004F3A21" w:rsidP="008E1F0E">
      <w:pPr>
        <w:ind w:left="709" w:firstLineChars="253" w:firstLine="70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2. 說明書內容包括：自付差額特材品項之費用及產品特性、使用原因、應注意事項、副作用與健保給付品項之療效比較。</w:t>
      </w:r>
    </w:p>
    <w:p w:rsidR="004F3A21" w:rsidRPr="008E1F0E" w:rsidRDefault="004F3A21" w:rsidP="008E1F0E">
      <w:pPr>
        <w:ind w:left="709"/>
        <w:rPr>
          <w:rFonts w:ascii="微軟正黑體" w:eastAsia="微軟正黑體" w:hAnsi="微軟正黑體"/>
          <w:b/>
          <w:sz w:val="28"/>
          <w:szCs w:val="28"/>
        </w:rPr>
      </w:pPr>
      <w:r w:rsidRPr="008E1F0E">
        <w:rPr>
          <w:rFonts w:ascii="微軟正黑體" w:eastAsia="微軟正黑體" w:hAnsi="微軟正黑體"/>
          <w:b/>
          <w:sz w:val="28"/>
          <w:szCs w:val="28"/>
        </w:rPr>
        <w:t>(二)第二階段</w:t>
      </w:r>
    </w:p>
    <w:p w:rsidR="004F3A21" w:rsidRPr="008E1F0E" w:rsidRDefault="004F3A21" w:rsidP="008E1F0E">
      <w:pPr>
        <w:ind w:left="709" w:firstLineChars="253" w:firstLine="70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1.保險對象或其家屬於獲得相關醫療資訊後，醫療院所應另行向其說明收費情形並給予充分考慮時間，再請其簽署同意書一式二份，一份交由保險對象保留，另一份則保留於病歷中。</w:t>
      </w:r>
    </w:p>
    <w:p w:rsidR="004F3A21" w:rsidRPr="008E1F0E" w:rsidRDefault="004F3A21" w:rsidP="008E1F0E">
      <w:pPr>
        <w:ind w:left="709" w:firstLineChars="253" w:firstLine="70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2.同意書載明</w:t>
      </w:r>
    </w:p>
    <w:p w:rsidR="004F3A21" w:rsidRPr="008E1F0E" w:rsidRDefault="004F3A21" w:rsidP="008E1F0E">
      <w:pPr>
        <w:ind w:left="709" w:firstLineChars="253" w:firstLine="70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(1)自付差額品項名稱及品項代碼。</w:t>
      </w:r>
    </w:p>
    <w:p w:rsidR="004F3A21" w:rsidRPr="008E1F0E" w:rsidRDefault="004F3A21" w:rsidP="008E1F0E">
      <w:pPr>
        <w:ind w:left="709" w:firstLineChars="253" w:firstLine="70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(2)醫療器材許可證字號。</w:t>
      </w:r>
    </w:p>
    <w:p w:rsidR="004F3A21" w:rsidRPr="008E1F0E" w:rsidRDefault="004F3A21" w:rsidP="008E1F0E">
      <w:pPr>
        <w:ind w:left="709" w:firstLineChars="253" w:firstLine="70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(3)單價、數量及自費金額。</w:t>
      </w:r>
    </w:p>
    <w:p w:rsidR="004F3A21" w:rsidRPr="008E1F0E" w:rsidRDefault="004F3A21" w:rsidP="008E1F0E">
      <w:pPr>
        <w:ind w:left="120" w:firstLineChars="210" w:firstLine="58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醫療院所應摯發收據交予保險對象或家屬收存。應另檢附明細表詳列自付差額品項名稱、品項代碼、單價、數量及自費總金額，提供保險對象或家屬收存。</w:t>
      </w:r>
    </w:p>
    <w:p w:rsidR="004F3A21" w:rsidRPr="008E1F0E" w:rsidRDefault="004F3A21" w:rsidP="004F3A21">
      <w:pPr>
        <w:ind w:left="120"/>
        <w:rPr>
          <w:rFonts w:ascii="微軟正黑體" w:eastAsia="微軟正黑體" w:hAnsi="微軟正黑體"/>
          <w:b/>
          <w:sz w:val="28"/>
          <w:szCs w:val="28"/>
        </w:rPr>
      </w:pPr>
      <w:r w:rsidRPr="008E1F0E">
        <w:rPr>
          <w:rFonts w:ascii="微軟正黑體" w:eastAsia="微軟正黑體" w:hAnsi="微軟正黑體"/>
          <w:b/>
          <w:bCs/>
          <w:sz w:val="28"/>
          <w:szCs w:val="28"/>
        </w:rPr>
        <w:t>七、如何獲得醫療院所收費等相關資訊</w:t>
      </w:r>
    </w:p>
    <w:p w:rsidR="004F3A21" w:rsidRPr="008E1F0E" w:rsidRDefault="004F3A21" w:rsidP="008E1F0E">
      <w:pPr>
        <w:ind w:left="120" w:firstLineChars="210" w:firstLine="58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醫療院所應將其所進用之「特殊功能及材質髓內釘組」的品項名稱、品項代碼、收費標準（包括醫院自費價、健保支付價及保險對象負擔費用）、產品特性、副作用、與本保險已給付品項之療效比較等相關資訊，置於醫療院所之網際網路或明顯之處所，以供民眾查詢，健保署會不定期派員稽查，來確保病患的權益。另健保</w:t>
      </w:r>
      <w:r w:rsidRPr="008E1F0E">
        <w:rPr>
          <w:rFonts w:ascii="微軟正黑體" w:eastAsia="微軟正黑體" w:hAnsi="微軟正黑體"/>
          <w:sz w:val="28"/>
          <w:szCs w:val="28"/>
        </w:rPr>
        <w:lastRenderedPageBreak/>
        <w:t>署會將「特殊功能及材質髓內釘組」的相關資訊置於健保署全球資訊網站（網址：網址：http://www.nhi.gov.tw首頁/健保服務/健保藥品與特材/健保特殊材料/健保特材品項查詢/健保自付差額(差額負擔)），民眾可上網查詢，並可至本署全球資訊網「醫材比價網」搜尋醫療院所自費標準。</w:t>
      </w:r>
    </w:p>
    <w:p w:rsidR="004F3A21" w:rsidRPr="008E1F0E" w:rsidRDefault="004F3A21" w:rsidP="004F3A21">
      <w:pPr>
        <w:ind w:left="120"/>
        <w:rPr>
          <w:rFonts w:ascii="微軟正黑體" w:eastAsia="微軟正黑體" w:hAnsi="微軟正黑體"/>
          <w:b/>
          <w:sz w:val="28"/>
          <w:szCs w:val="28"/>
        </w:rPr>
      </w:pPr>
      <w:r w:rsidRPr="008E1F0E">
        <w:rPr>
          <w:rFonts w:ascii="微軟正黑體" w:eastAsia="微軟正黑體" w:hAnsi="微軟正黑體"/>
          <w:b/>
          <w:bCs/>
          <w:sz w:val="28"/>
          <w:szCs w:val="28"/>
        </w:rPr>
        <w:t>八、如何檢舉及申訴</w:t>
      </w:r>
    </w:p>
    <w:p w:rsidR="004F3A21" w:rsidRPr="008E1F0E" w:rsidRDefault="004F3A21" w:rsidP="008E1F0E">
      <w:pPr>
        <w:ind w:left="120" w:firstLineChars="210" w:firstLine="58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民眾就醫時，如果遇到醫療院所未依上述規定時，可透過以下管道提出申訴或檢舉。</w:t>
      </w:r>
    </w:p>
    <w:p w:rsidR="004F3A21" w:rsidRPr="008E1F0E" w:rsidRDefault="004F3A21" w:rsidP="008E1F0E">
      <w:pPr>
        <w:ind w:left="120" w:firstLineChars="210" w:firstLine="58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1.打0800-030598免付費電話，有專人馬上為您提供諮詢服務。</w:t>
      </w:r>
    </w:p>
    <w:p w:rsidR="004F3A21" w:rsidRPr="008E1F0E" w:rsidRDefault="004F3A21" w:rsidP="008E1F0E">
      <w:pPr>
        <w:ind w:left="120" w:firstLineChars="210" w:firstLine="58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2.透過健保署全球資訊網之民眾意見信箱E-mail。</w:t>
      </w:r>
    </w:p>
    <w:p w:rsidR="004F3A21" w:rsidRDefault="004F3A21" w:rsidP="00020686">
      <w:pPr>
        <w:ind w:left="120" w:firstLineChars="210" w:firstLine="588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/>
          <w:sz w:val="28"/>
          <w:szCs w:val="28"/>
        </w:rPr>
        <w:t>3.親自到健保署各分區業務組或聯絡辦公室。</w:t>
      </w:r>
    </w:p>
    <w:p w:rsidR="00020686" w:rsidRPr="00020686" w:rsidRDefault="00020686" w:rsidP="00020686">
      <w:pPr>
        <w:ind w:left="120" w:firstLineChars="210" w:firstLine="588"/>
        <w:rPr>
          <w:rFonts w:ascii="微軟正黑體" w:eastAsia="微軟正黑體" w:hAnsi="微軟正黑體"/>
          <w:sz w:val="28"/>
          <w:szCs w:val="28"/>
        </w:rPr>
      </w:pPr>
    </w:p>
    <w:p w:rsidR="00C50A97" w:rsidRPr="00020686" w:rsidRDefault="004F3A21" w:rsidP="00020686">
      <w:pPr>
        <w:ind w:left="120"/>
        <w:rPr>
          <w:rFonts w:ascii="微軟正黑體" w:eastAsia="微軟正黑體" w:hAnsi="微軟正黑體"/>
          <w:sz w:val="28"/>
          <w:szCs w:val="28"/>
        </w:rPr>
      </w:pPr>
      <w:r w:rsidRPr="008E1F0E">
        <w:rPr>
          <w:rFonts w:ascii="微軟正黑體" w:eastAsia="微軟正黑體" w:hAnsi="微軟正黑體" w:cs="Cambria Math"/>
          <w:sz w:val="28"/>
          <w:szCs w:val="28"/>
        </w:rPr>
        <w:t>◎</w:t>
      </w:r>
      <w:r w:rsidRPr="008E1F0E">
        <w:rPr>
          <w:rFonts w:ascii="微軟正黑體" w:eastAsia="微軟正黑體" w:hAnsi="微軟正黑體"/>
          <w:sz w:val="28"/>
          <w:szCs w:val="28"/>
        </w:rPr>
        <w:t>註﹕資料來源：參考中華民國骨科醫學會意見整理</w:t>
      </w:r>
    </w:p>
    <w:sectPr w:rsidR="00C50A97" w:rsidRPr="00020686" w:rsidSect="004F3A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2B" w:rsidRDefault="00812E2B" w:rsidP="00696A95">
      <w:r>
        <w:separator/>
      </w:r>
    </w:p>
  </w:endnote>
  <w:endnote w:type="continuationSeparator" w:id="0">
    <w:p w:rsidR="00812E2B" w:rsidRDefault="00812E2B" w:rsidP="0069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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2B" w:rsidRDefault="00812E2B" w:rsidP="00696A95">
      <w:r>
        <w:separator/>
      </w:r>
    </w:p>
  </w:footnote>
  <w:footnote w:type="continuationSeparator" w:id="0">
    <w:p w:rsidR="00812E2B" w:rsidRDefault="00812E2B" w:rsidP="0069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76541"/>
    <w:multiLevelType w:val="hybridMultilevel"/>
    <w:tmpl w:val="BE08BAC4"/>
    <w:lvl w:ilvl="0" w:tplc="2B2A60CA">
      <w:start w:val="1"/>
      <w:numFmt w:val="ideographLegalTraditional"/>
      <w:lvlText w:val="%1、"/>
      <w:lvlJc w:val="left"/>
      <w:pPr>
        <w:ind w:left="6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DF"/>
    <w:rsid w:val="00020686"/>
    <w:rsid w:val="000F4CB3"/>
    <w:rsid w:val="001A46D0"/>
    <w:rsid w:val="004E1F71"/>
    <w:rsid w:val="004F3A21"/>
    <w:rsid w:val="0051109A"/>
    <w:rsid w:val="005461CB"/>
    <w:rsid w:val="005F100D"/>
    <w:rsid w:val="00696A95"/>
    <w:rsid w:val="006E1460"/>
    <w:rsid w:val="00723263"/>
    <w:rsid w:val="00725EF1"/>
    <w:rsid w:val="00730464"/>
    <w:rsid w:val="00812E2B"/>
    <w:rsid w:val="008E1F0E"/>
    <w:rsid w:val="00934826"/>
    <w:rsid w:val="00950216"/>
    <w:rsid w:val="00A34E61"/>
    <w:rsid w:val="00A35BE6"/>
    <w:rsid w:val="00AE0CA0"/>
    <w:rsid w:val="00B0334D"/>
    <w:rsid w:val="00B34A09"/>
    <w:rsid w:val="00BE149D"/>
    <w:rsid w:val="00BF1E03"/>
    <w:rsid w:val="00C50A97"/>
    <w:rsid w:val="00CA36B2"/>
    <w:rsid w:val="00CE30DF"/>
    <w:rsid w:val="00DA7754"/>
    <w:rsid w:val="00E42FFB"/>
    <w:rsid w:val="00F26CF6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5C3047-60B8-47C1-92F3-6185B8AD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30DF"/>
    <w:pPr>
      <w:widowControl w:val="0"/>
      <w:autoSpaceDE w:val="0"/>
      <w:autoSpaceDN w:val="0"/>
      <w:adjustRightInd w:val="0"/>
    </w:pPr>
    <w:rPr>
      <w:rFonts w:ascii="新細明體.." w:eastAsia="新細明體.." w:cs="新細明體..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CE30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34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48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6A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6A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598</Words>
  <Characters>3410</Characters>
  <Application>Microsoft Office Word</Application>
  <DocSecurity>0</DocSecurity>
  <Lines>28</Lines>
  <Paragraphs>7</Paragraphs>
  <ScaleCrop>false</ScaleCrop>
  <Company>mmh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蔡煜均</dc:creator>
  <cp:keywords/>
  <dc:description/>
  <cp:lastModifiedBy>范桂瑄</cp:lastModifiedBy>
  <cp:revision>4</cp:revision>
  <dcterms:created xsi:type="dcterms:W3CDTF">2021-12-10T07:52:00Z</dcterms:created>
  <dcterms:modified xsi:type="dcterms:W3CDTF">2024-05-22T08:00:00Z</dcterms:modified>
</cp:coreProperties>
</file>